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250EA22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line="855" w:lineRule="atLeast"/>
        <w:ind w:left="0" w:right="0" w:firstLine="0"/>
        <w:jc w:val="center"/>
        <w:rPr>
          <w:rFonts w:ascii="微软雅黑" w:hAnsi="微软雅黑" w:eastAsia="微软雅黑" w:cs="微软雅黑"/>
          <w:b/>
          <w:bCs/>
          <w:caps w:val="0"/>
          <w:color w:val="333333"/>
          <w:spacing w:val="0"/>
          <w:sz w:val="48"/>
          <w:szCs w:val="48"/>
        </w:rPr>
      </w:pPr>
      <w:bookmarkStart w:id="0" w:name="_GoBack"/>
      <w:r>
        <w:rPr>
          <w:rFonts w:hint="eastAsia" w:ascii="微软雅黑" w:hAnsi="微软雅黑" w:eastAsia="微软雅黑" w:cs="微软雅黑"/>
          <w:b/>
          <w:bCs/>
          <w:caps w:val="0"/>
          <w:color w:val="333333"/>
          <w:spacing w:val="0"/>
          <w:sz w:val="48"/>
          <w:szCs w:val="48"/>
          <w:bdr w:val="none" w:color="auto" w:sz="0" w:space="0"/>
          <w:shd w:val="clear" w:fill="FFFFFF"/>
        </w:rPr>
        <w:t>2026年国家社科基金文化遗产保护传承研究专项申报公告</w:t>
      </w:r>
    </w:p>
    <w:bookmarkEnd w:id="0"/>
    <w:p w14:paraId="1088947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全国哲学社会科学工作办公室现发布2026年国家社科基金文化遗产保护传承研究专项申报公告。</w:t>
      </w:r>
    </w:p>
    <w:p w14:paraId="07ADD1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一、指导思想</w:t>
      </w:r>
    </w:p>
    <w:p w14:paraId="7CB42B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坚持以习近平新时代中国特色社会主义思想为指导，以习近平文化思想为引领，坚持研究与保护贯通、为传承服务的原则，着力加强习近平总书记关于文化遗产保护传承重要论述的研究阐释，深化文化遗产多重价值研究阐释，加强文化遗产保护传承工作体制机制建设重大理论和实践问题研究，推出一批具有较高质量和较大影响的研究成果，加快构建中国特色文化遗产研究学科体系、学术体系、话语体系，推动中华优秀传统文化创造性转化、创新性发展。</w:t>
      </w:r>
    </w:p>
    <w:p w14:paraId="77E45A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二、目标定位</w:t>
      </w:r>
    </w:p>
    <w:p w14:paraId="34E537D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服务国家需求。坚持目标导向，增强问题意识，聚焦关系文化遗产保护传承工作大局的重大理论和实践问题，开展具有战略性、储备性、针对性的基础和应用研究，为文化遗产保护传承工作提供思想和智力支撑。</w:t>
      </w:r>
    </w:p>
    <w:p w14:paraId="38E602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2.促进学科发展。树立学科视角，深化文化遗产重大基础理论和学术前沿问题研究，着力巩固学科发展基础、凝练学科发展方向，鼓励学科交叉和研究方法创新，加快推进文化遗产相关学科建设。</w:t>
      </w:r>
    </w:p>
    <w:p w14:paraId="67C8FE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3.加强人才培养。坚持科研育人，通过科研项目平台，培养一批高水平学科带头人和骨干创新人才，带动培养一批有学术潜力的青年人才和学术创新团队，为文化遗产保护传承事业提供坚实人才支撑。</w:t>
      </w:r>
    </w:p>
    <w:p w14:paraId="3F80AD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三、资助额度</w:t>
      </w:r>
    </w:p>
    <w:p w14:paraId="4149DA8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2026年文化遗产保护传承研究专项参照国家社科基金重大项目资助标准，每项资助80万元，立项后参照重大项目管理。申请人须按照《国家社会科学基金管理办法》和《国家社会科学基金项目资金管理办法》（详见我办网站）要求，根据实际需要编制科学合理的经费预算。</w:t>
      </w:r>
    </w:p>
    <w:p w14:paraId="1E8839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四、申报条件</w:t>
      </w:r>
    </w:p>
    <w:p w14:paraId="042C85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遵守中华人民共和国宪法和法律，遵守国家社科基金各项管理规定；在文化遗产保护传承研究领域具有深厚的学术造诣和丰富的科研经验，社会责任感强，品行端正，学风优良；具有副高级及以上专业技术职称或相应研究资质，能够承担实质性研究工作并担负科研组织指导职责。</w:t>
      </w:r>
    </w:p>
    <w:p w14:paraId="3302852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2.具有在长期合作基础上形成的稳定研究队伍，研究团队成员应当具有高级职称或博士学位，专业结构和年龄结构较为合理。</w:t>
      </w:r>
    </w:p>
    <w:p w14:paraId="0EA2ED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申请人所在单位须设有科研管理部门，能够提供开展研究的必要条件并承诺信誉保证。以兼职人员身份从所兼职单位申报本研究专项的，兼职单位须审核兼职人员正式聘用关系的真实性，切实承担项目管理职责并承诺信誉保证。</w:t>
      </w:r>
    </w:p>
    <w:p w14:paraId="7CFAA3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4.在研国家社科基金项目、马克思主义理论研究和建设工程重大项目及其他国家级重大科研项目、教育部哲学社会科学研究重大课题攻关项目的负责人，不能参与本次申报。</w:t>
      </w:r>
    </w:p>
    <w:p w14:paraId="4D29BE4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五、申报要求</w:t>
      </w:r>
    </w:p>
    <w:p w14:paraId="74151A6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申请人须按照课题指南规定的选题申报，原则上不能修改选题表述，如确有需要可进行适当微调，但不得大幅压缩或改变研究内容，自选课题不予受理。申请人须按照《2026年国家社会科学基金文化遗产保护传承研究专项申请书》（2026年10月制）规定的内容和要求填写申报材料。要突出课题论证设计部分，重点介绍总体研究框架和主要内容，课题研究思路、研究重点和创新之处，简要介绍研究综述、子课题负责人情况等内容，课题设计论证字数不超过4万字。</w:t>
      </w:r>
    </w:p>
    <w:p w14:paraId="1E9778C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课题设计要着眼服务国家需求，树立目标导向，增强问题意识，突出研究重点，不宜过于宽泛，避免大而全，着力解决文化遗产保护传承工作面临的实际问题，子课题数量一般不超过5个。每个子课题只能确定1名负责人。如获立项，原则上子课题负责人不得变更。</w:t>
      </w:r>
    </w:p>
    <w:p w14:paraId="2DF58E8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3.申请人须提交300字以内的《选题说明》，简洁明了地说明所申请课题所要研究和解决的问题。</w:t>
      </w:r>
    </w:p>
    <w:p w14:paraId="4389B68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4.申请人须提交2篇与申报选题研究领域相关的代表性成果（论文或专著），作为评审立项的重要参考。</w:t>
      </w:r>
    </w:p>
    <w:p w14:paraId="4B7E87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5.申请人要熟知国内外相关领域研究前沿动态，具备扎实的研究基础和丰富的相关前期研究成果。除必要的学术史梳理或综述外，应着重阐明本课题设计相对于已有研究的独到学术价值、应用价值和社会意义。</w:t>
      </w:r>
    </w:p>
    <w:p w14:paraId="6C0871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6.申请人要树立鲜明的问题导向和创新意识，在框架设计、研究思路、主要内容、基本观点、研究方法等方面，体现创新的学术思想、独到的学术见解和可能取得的突破。要注重采取多学科研究方法和组建跨学科研究团队，发挥研究专项在科研育人方面的重要作用。</w:t>
      </w:r>
      <w:r>
        <w:rPr>
          <w:rStyle w:val="8"/>
          <w:rFonts w:hint="eastAsia" w:ascii="微软雅黑" w:hAnsi="微软雅黑" w:eastAsia="微软雅黑" w:cs="微软雅黑"/>
          <w:caps w:val="0"/>
          <w:color w:val="333333"/>
          <w:spacing w:val="0"/>
          <w:sz w:val="27"/>
          <w:szCs w:val="27"/>
          <w:bdr w:val="none" w:color="auto" w:sz="0" w:space="0"/>
          <w:shd w:val="clear" w:fill="FFFFFF"/>
        </w:rPr>
        <w:t>申请人及课题组成员均须承诺保证以足够的时间和精力承担或参与项目研究。</w:t>
      </w:r>
    </w:p>
    <w:p w14:paraId="407340C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7.项目完成时间根据研究工作的实际需要确定，一般应在3年左右完成。立项2年后将进行中期检查评估。</w:t>
      </w:r>
    </w:p>
    <w:p w14:paraId="7B4F7CF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六、工作安排</w:t>
      </w:r>
    </w:p>
    <w:p w14:paraId="132911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本研究专项实行网络申报，网络申报系统于11月16日至11月22日17时开放，在此期间申请人可在国家社科基金科研创新服务管理平台（https://xm.npopss-cn.gov.cn），以实名信息注册账号后登录系统，并按规定要求填写申报信息（已有账号者无需再次注册）。逾期系统自动关闭，不再受理申报。</w:t>
      </w:r>
      <w:r>
        <w:rPr>
          <w:rStyle w:val="8"/>
          <w:rFonts w:hint="eastAsia" w:ascii="微软雅黑" w:hAnsi="微软雅黑" w:eastAsia="微软雅黑" w:cs="微软雅黑"/>
          <w:caps w:val="0"/>
          <w:color w:val="333333"/>
          <w:spacing w:val="0"/>
          <w:sz w:val="27"/>
          <w:szCs w:val="27"/>
          <w:bdr w:val="none" w:color="auto" w:sz="0" w:space="0"/>
          <w:shd w:val="clear" w:fill="FFFFFF"/>
        </w:rPr>
        <w:t>申请人在线申报的同时须提交纸质版《申请书》一式3份，并确保线上线下《申请书》内容完全一致。</w:t>
      </w:r>
    </w:p>
    <w:p w14:paraId="5CA5DB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国家社科基金科研创新服务管理平台中的“项目申报系统”为本次申报的唯一网络平台，网络申报办法及流程管理以该系统为准。有关申报系统及技术问题请咨询400-800-1636，电子信箱：support@e-plugger.com。</w:t>
      </w:r>
    </w:p>
    <w:p w14:paraId="4BB771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2.责任单位要加强对本单位网上申报的组织指导和服务工作，严格审核申报资格、申报质量、前期研究成果的真实性、申请人及课题组的研究实力和必备条件。</w:t>
      </w:r>
    </w:p>
    <w:p w14:paraId="64E4DBD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3.省级社科管理部门和在京委托管理机构要增强政治意识、责任意识和质量意识，整合相关研究力量，统筹把握优先资助领域，对申报材料的政治方向、学术价值、创新程度等进行认真审核和严格把关，</w:t>
      </w:r>
      <w:r>
        <w:rPr>
          <w:rStyle w:val="8"/>
          <w:rFonts w:hint="eastAsia" w:ascii="微软雅黑" w:hAnsi="微软雅黑" w:eastAsia="微软雅黑" w:cs="微软雅黑"/>
          <w:caps w:val="0"/>
          <w:color w:val="333333"/>
          <w:spacing w:val="0"/>
          <w:sz w:val="27"/>
          <w:szCs w:val="27"/>
          <w:bdr w:val="none" w:color="auto" w:sz="0" w:space="0"/>
          <w:shd w:val="clear" w:fill="FFFFFF"/>
        </w:rPr>
        <w:t>于11月25日17时前完成线上审核，12月6日前将审核通过的纸质版《申请书》报送我办</w:t>
      </w:r>
      <w:r>
        <w:rPr>
          <w:rFonts w:hint="eastAsia" w:ascii="微软雅黑" w:hAnsi="微软雅黑" w:eastAsia="微软雅黑" w:cs="微软雅黑"/>
          <w:caps w:val="0"/>
          <w:color w:val="333333"/>
          <w:spacing w:val="0"/>
          <w:sz w:val="27"/>
          <w:szCs w:val="27"/>
          <w:bdr w:val="none" w:color="auto" w:sz="0" w:space="0"/>
          <w:shd w:val="clear" w:fill="FFFFFF"/>
        </w:rPr>
        <w:t>，并确保数据的真实性、完整性和一致性。</w:t>
      </w:r>
    </w:p>
    <w:p w14:paraId="1F458B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4.全国社科工作办对《申请书》进行资格审查，组织专家对通过资格审查的申报材料进行评审，提出建议立项课题名单并按程序立项。</w:t>
      </w:r>
    </w:p>
    <w:p w14:paraId="4C71EC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微软雅黑" w:hAnsi="微软雅黑" w:eastAsia="微软雅黑" w:cs="微软雅黑"/>
          <w:caps w:val="0"/>
          <w:color w:val="333333"/>
          <w:spacing w:val="0"/>
          <w:sz w:val="27"/>
          <w:szCs w:val="27"/>
          <w:bdr w:val="none" w:color="auto" w:sz="0" w:space="0"/>
          <w:shd w:val="clear" w:fill="FFFFFF"/>
        </w:rPr>
        <w:t>七、其他事项</w:t>
      </w:r>
    </w:p>
    <w:p w14:paraId="6768DD8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申请人须按照《申请书》和申报公告要求，如实填写材料，保证没有知识产权争议，不得有违背科研诚信要求的行为。凡存在弄虚作假、抄袭剽窃等行为的，一经发现查实，5年内取消国家社科基金项目申报资格，如获立项即予撤项并通报批评，列入不良科研信用记录，责成责任单位严肃处理。</w:t>
      </w:r>
    </w:p>
    <w:p w14:paraId="7D81FBD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各地社科管理部门或在京委托管理机构受理本地区本部门申报材料。中央党校（国家行政学院）科研部受理中央国家机关及在京直属单位的课题申报，教育部社科司受理中央各部委所属在京普通高等院校的课题申报，中国社科院科研局受理本院的课题申报，全军社科规划办受理军队系统（含地方军队院校）的课题申报。全国社科工作办不直接受理个人申报。</w:t>
      </w:r>
    </w:p>
    <w:p w14:paraId="42E299D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附件：1.</w: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begin"/>
      </w:r>
      <w:r>
        <w:rPr>
          <w:rFonts w:hint="eastAsia" w:ascii="微软雅黑" w:hAnsi="微软雅黑" w:eastAsia="微软雅黑" w:cs="微软雅黑"/>
          <w:caps w:val="0"/>
          <w:color w:val="1249A4"/>
          <w:spacing w:val="0"/>
          <w:sz w:val="27"/>
          <w:szCs w:val="27"/>
          <w:u w:val="none"/>
          <w:bdr w:val="none" w:color="auto" w:sz="0" w:space="0"/>
          <w:shd w:val="clear" w:fill="FFFFFF"/>
        </w:rPr>
        <w:instrText xml:space="preserve"> HYPERLINK "https://download.people.com.cn/yunying4/sixteen17924803341.doc" \t "http://www.nopss.gov.cn/n1/2026/1020/_blank" </w:instrTex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separate"/>
      </w:r>
      <w:r>
        <w:rPr>
          <w:rStyle w:val="10"/>
          <w:rFonts w:hint="eastAsia" w:ascii="微软雅黑" w:hAnsi="微软雅黑" w:eastAsia="微软雅黑" w:cs="微软雅黑"/>
          <w:caps w:val="0"/>
          <w:color w:val="1249A4"/>
          <w:spacing w:val="0"/>
          <w:sz w:val="27"/>
          <w:szCs w:val="27"/>
          <w:u w:val="none"/>
          <w:bdr w:val="none" w:color="auto" w:sz="0" w:space="0"/>
          <w:shd w:val="clear" w:fill="FFFFFF"/>
        </w:rPr>
        <w:t>2026年国家社科基金文化遗产保护传承研究专项课题指南</w: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end"/>
      </w:r>
    </w:p>
    <w:p w14:paraId="48E501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           2.</w: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begin"/>
      </w:r>
      <w:r>
        <w:rPr>
          <w:rFonts w:hint="eastAsia" w:ascii="微软雅黑" w:hAnsi="微软雅黑" w:eastAsia="微软雅黑" w:cs="微软雅黑"/>
          <w:caps w:val="0"/>
          <w:color w:val="1249A4"/>
          <w:spacing w:val="0"/>
          <w:sz w:val="27"/>
          <w:szCs w:val="27"/>
          <w:u w:val="none"/>
          <w:bdr w:val="none" w:color="auto" w:sz="0" w:space="0"/>
          <w:shd w:val="clear" w:fill="FFFFFF"/>
        </w:rPr>
        <w:instrText xml:space="preserve"> HYPERLINK "https://download.people.com.cn/yunying4/sixteen17924812001.doc" \t "http://www.nopss.gov.cn/n1/2026/1020/_blank" </w:instrTex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separate"/>
      </w:r>
      <w:r>
        <w:rPr>
          <w:rStyle w:val="10"/>
          <w:rFonts w:hint="eastAsia" w:ascii="微软雅黑" w:hAnsi="微软雅黑" w:eastAsia="微软雅黑" w:cs="微软雅黑"/>
          <w:caps w:val="0"/>
          <w:color w:val="1249A4"/>
          <w:spacing w:val="0"/>
          <w:sz w:val="27"/>
          <w:szCs w:val="27"/>
          <w:u w:val="none"/>
          <w:bdr w:val="none" w:color="auto" w:sz="0" w:space="0"/>
          <w:shd w:val="clear" w:fill="FFFFFF"/>
        </w:rPr>
        <w:t>2026年国家社会科学基金文化遗产保护传承研究专项申请书</w:t>
      </w:r>
      <w:r>
        <w:rPr>
          <w:rFonts w:hint="eastAsia" w:ascii="微软雅黑" w:hAnsi="微软雅黑" w:eastAsia="微软雅黑" w:cs="微软雅黑"/>
          <w:caps w:val="0"/>
          <w:color w:val="1249A4"/>
          <w:spacing w:val="0"/>
          <w:sz w:val="27"/>
          <w:szCs w:val="27"/>
          <w:u w:val="none"/>
          <w:bdr w:val="none" w:color="auto" w:sz="0" w:space="0"/>
          <w:shd w:val="clear" w:fill="FFFFFF"/>
        </w:rPr>
        <w:fldChar w:fldCharType="end"/>
      </w:r>
    </w:p>
    <w:p w14:paraId="266AFB6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right"/>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全国哲学社会科学工作办公室</w:t>
      </w:r>
    </w:p>
    <w:p w14:paraId="68D91E5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right"/>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2026年10月20日</w:t>
      </w:r>
    </w:p>
    <w:tbl>
      <w:tblPr>
        <w:tblW w:w="2000" w:type="pct"/>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358"/>
      </w:tblGrid>
      <w:tr w14:paraId="5012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0" w:type="auto"/>
            <w:shd w:val="clear"/>
            <w:vAlign w:val="center"/>
          </w:tcPr>
          <w:p w14:paraId="3306CC59">
            <w:pPr>
              <w:rPr>
                <w:rFonts w:hint="eastAsia" w:ascii="宋体"/>
                <w:sz w:val="24"/>
                <w:szCs w:val="24"/>
              </w:rPr>
            </w:pPr>
          </w:p>
        </w:tc>
      </w:tr>
    </w:tbl>
    <w:p w14:paraId="26E00BF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69413F"/>
    <w:rsid w:val="6C694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2026-10-23T06:35:00Z</dcterms:created>
  <dc:creator>小眉眉</dc:creator>
  <cp:lastModifiedBy>小眉眉</cp:lastModifiedBy>
  <dcterms:modified xsi:type="dcterms:W3CDTF">2026-10-23T06:41:50Z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48DA4F4E88A249208E4005D5B8305C0E_11</vt:lpwstr>
  </property>
  <property fmtid="{D5CDD505-2E9C-101B-9397-08002B2CF9AE}" pid="4" name="KSOTemplateDocerSaveRecord">
    <vt:lpwstr>eyJoZGlkIjoiOWM4ZjM5NzRiODBmZTM1YWI1NTA4MWY2ZTkxNWIyYTYiLCJ1c2VySWQiOiI4ODc4MDQ5MjMifQ==</vt:lpwstr>
  </property>
</Properties>
</file>